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26981" w14:textId="77777777" w:rsidR="00C71CBA" w:rsidRPr="00FC1535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bookmarkStart w:id="0" w:name="_Hlk179980546"/>
      <w:r>
        <w:rPr>
          <w:rStyle w:val="Brak"/>
          <w:rFonts w:ascii="Calibri" w:hAnsi="Calibri" w:cs="Calibri"/>
          <w:sz w:val="20"/>
          <w:szCs w:val="20"/>
        </w:rPr>
        <w:t>KOMUNIKAT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PRASOW</w:t>
      </w:r>
      <w:r>
        <w:rPr>
          <w:rStyle w:val="Brak"/>
          <w:rFonts w:ascii="Calibri" w:hAnsi="Calibri" w:cs="Calibri"/>
          <w:sz w:val="20"/>
          <w:szCs w:val="20"/>
        </w:rPr>
        <w:t>Y</w:t>
      </w:r>
    </w:p>
    <w:p w14:paraId="21866D2E" w14:textId="77777777" w:rsidR="00C71CBA" w:rsidRPr="00FC1535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</w:p>
    <w:p w14:paraId="3D174618" w14:textId="46351E0A" w:rsidR="00C71CBA" w:rsidRPr="00FC1535" w:rsidRDefault="00CB7FF4" w:rsidP="00C71CBA">
      <w:pPr>
        <w:jc w:val="both"/>
        <w:rPr>
          <w:rFonts w:ascii="Calibri" w:hAnsi="Calibri" w:cs="Calibri"/>
          <w:sz w:val="20"/>
          <w:szCs w:val="20"/>
        </w:rPr>
      </w:pPr>
      <w:r>
        <w:rPr>
          <w:rStyle w:val="Brak"/>
          <w:rFonts w:ascii="Calibri" w:hAnsi="Calibri" w:cs="Calibri"/>
          <w:sz w:val="20"/>
          <w:szCs w:val="20"/>
        </w:rPr>
        <w:t xml:space="preserve">Drugi dzień </w:t>
      </w:r>
      <w:r>
        <w:rPr>
          <w:rFonts w:ascii="Calibri" w:hAnsi="Calibri" w:cs="Calibri"/>
          <w:sz w:val="20"/>
          <w:szCs w:val="20"/>
        </w:rPr>
        <w:t>k</w:t>
      </w:r>
      <w:r w:rsidRPr="00CB7FF4">
        <w:rPr>
          <w:rFonts w:ascii="Calibri" w:hAnsi="Calibri" w:cs="Calibri"/>
          <w:sz w:val="20"/>
          <w:szCs w:val="20"/>
        </w:rPr>
        <w:t>ształtowani</w:t>
      </w:r>
      <w:r>
        <w:rPr>
          <w:rFonts w:ascii="Calibri" w:hAnsi="Calibri" w:cs="Calibri"/>
          <w:sz w:val="20"/>
          <w:szCs w:val="20"/>
        </w:rPr>
        <w:t>a</w:t>
      </w:r>
      <w:r w:rsidRPr="00CB7FF4">
        <w:rPr>
          <w:rFonts w:ascii="Calibri" w:hAnsi="Calibri" w:cs="Calibri"/>
          <w:sz w:val="20"/>
          <w:szCs w:val="20"/>
        </w:rPr>
        <w:t xml:space="preserve"> przyszłości</w:t>
      </w:r>
      <w:r>
        <w:rPr>
          <w:rFonts w:ascii="Calibri" w:hAnsi="Calibri" w:cs="Calibri"/>
          <w:sz w:val="20"/>
          <w:szCs w:val="20"/>
        </w:rPr>
        <w:t xml:space="preserve"> na</w:t>
      </w:r>
      <w:r w:rsidRPr="00CB7FF4">
        <w:rPr>
          <w:rFonts w:ascii="Calibri" w:hAnsi="Calibri" w:cs="Calibri"/>
          <w:sz w:val="20"/>
          <w:szCs w:val="20"/>
        </w:rPr>
        <w:t xml:space="preserve"> Europejski</w:t>
      </w:r>
      <w:r>
        <w:rPr>
          <w:rFonts w:ascii="Calibri" w:hAnsi="Calibri" w:cs="Calibri"/>
          <w:sz w:val="20"/>
          <w:szCs w:val="20"/>
        </w:rPr>
        <w:t>m</w:t>
      </w:r>
      <w:r w:rsidRPr="00CB7FF4">
        <w:rPr>
          <w:rFonts w:ascii="Calibri" w:hAnsi="Calibri" w:cs="Calibri"/>
          <w:sz w:val="20"/>
          <w:szCs w:val="20"/>
        </w:rPr>
        <w:t xml:space="preserve"> Kongres</w:t>
      </w:r>
      <w:r>
        <w:rPr>
          <w:rFonts w:ascii="Calibri" w:hAnsi="Calibri" w:cs="Calibri"/>
          <w:sz w:val="20"/>
          <w:szCs w:val="20"/>
        </w:rPr>
        <w:t>ie</w:t>
      </w:r>
      <w:r w:rsidRPr="00CB7FF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MŚP</w:t>
      </w:r>
    </w:p>
    <w:p w14:paraId="40E8CC07" w14:textId="1CDA5DF2" w:rsidR="00C71CBA" w:rsidRPr="00E35CC4" w:rsidRDefault="00C71CBA" w:rsidP="00C71CBA">
      <w:pPr>
        <w:jc w:val="both"/>
        <w:rPr>
          <w:rStyle w:val="Brak"/>
          <w:rFonts w:ascii="Calibri" w:hAnsi="Calibri" w:cs="Calibri"/>
          <w:b/>
          <w:bCs/>
          <w:sz w:val="20"/>
          <w:szCs w:val="20"/>
        </w:rPr>
      </w:pPr>
      <w:r w:rsidRPr="00C76ED8">
        <w:rPr>
          <w:rStyle w:val="Brak"/>
          <w:rFonts w:ascii="Calibri" w:hAnsi="Calibri" w:cs="Calibri"/>
          <w:b/>
          <w:bCs/>
          <w:sz w:val="20"/>
          <w:szCs w:val="20"/>
        </w:rPr>
        <w:t xml:space="preserve">Katowice, </w:t>
      </w:r>
      <w:r>
        <w:rPr>
          <w:rStyle w:val="Brak"/>
          <w:rFonts w:ascii="Calibri" w:hAnsi="Calibri" w:cs="Calibri"/>
          <w:b/>
          <w:bCs/>
          <w:sz w:val="20"/>
          <w:szCs w:val="20"/>
        </w:rPr>
        <w:t>30</w:t>
      </w:r>
      <w:r w:rsidRPr="00C76ED8">
        <w:rPr>
          <w:rStyle w:val="Brak"/>
          <w:rFonts w:ascii="Calibri" w:hAnsi="Calibri" w:cs="Calibri"/>
          <w:b/>
          <w:bCs/>
          <w:sz w:val="20"/>
          <w:szCs w:val="20"/>
        </w:rPr>
        <w:t xml:space="preserve"> października 2024 (AP)</w:t>
      </w:r>
      <w:r>
        <w:rPr>
          <w:rStyle w:val="Brak"/>
          <w:rFonts w:ascii="Calibri" w:hAnsi="Calibri" w:cs="Calibri"/>
          <w:sz w:val="20"/>
          <w:szCs w:val="20"/>
        </w:rPr>
        <w:t xml:space="preserve"> –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</w:t>
      </w:r>
      <w:r>
        <w:rPr>
          <w:rStyle w:val="Brak"/>
          <w:rFonts w:ascii="Calibri" w:hAnsi="Calibri" w:cs="Calibri"/>
          <w:sz w:val="20"/>
          <w:szCs w:val="20"/>
        </w:rPr>
        <w:t>W katowickim Międzynarodowym Centrum Kongresowym odbyły się dziś</w:t>
      </w:r>
      <w:r w:rsidR="0053570E">
        <w:rPr>
          <w:rStyle w:val="Brak"/>
          <w:rFonts w:ascii="Calibri" w:hAnsi="Calibri" w:cs="Calibri"/>
          <w:sz w:val="20"/>
          <w:szCs w:val="20"/>
        </w:rPr>
        <w:br/>
      </w:r>
      <w:r>
        <w:rPr>
          <w:rStyle w:val="Brak"/>
          <w:rFonts w:ascii="Calibri" w:hAnsi="Calibri" w:cs="Calibri"/>
          <w:sz w:val="20"/>
          <w:szCs w:val="20"/>
        </w:rPr>
        <w:t>w ramach drugiego dnia 14. EKMŚP kolejne panele dyskusyjne, które dotyczyły</w:t>
      </w:r>
      <w:r w:rsidR="004B7914">
        <w:rPr>
          <w:rStyle w:val="Brak"/>
          <w:rFonts w:ascii="Calibri" w:hAnsi="Calibri" w:cs="Calibri"/>
          <w:sz w:val="20"/>
          <w:szCs w:val="20"/>
        </w:rPr>
        <w:t xml:space="preserve"> </w:t>
      </w:r>
      <w:r w:rsidR="004B7914">
        <w:rPr>
          <w:rStyle w:val="Brak"/>
          <w:rFonts w:ascii="Calibri" w:hAnsi="Calibri" w:cs="Calibri"/>
          <w:sz w:val="20"/>
          <w:szCs w:val="20"/>
        </w:rPr>
        <w:t>m.in</w:t>
      </w:r>
      <w:r w:rsidR="004B7914" w:rsidRPr="00A031EC">
        <w:rPr>
          <w:rFonts w:ascii="Calibri" w:hAnsi="Calibri" w:cs="Calibri"/>
          <w:sz w:val="20"/>
          <w:szCs w:val="20"/>
        </w:rPr>
        <w:t> </w:t>
      </w:r>
      <w:r>
        <w:rPr>
          <w:rStyle w:val="Brak"/>
          <w:rFonts w:ascii="Calibri" w:hAnsi="Calibri" w:cs="Calibri"/>
          <w:sz w:val="20"/>
          <w:szCs w:val="20"/>
        </w:rPr>
        <w:t xml:space="preserve"> takich zagadnień jak </w:t>
      </w:r>
      <w:r>
        <w:rPr>
          <w:rFonts w:ascii="Calibri" w:hAnsi="Calibri" w:cs="Calibri"/>
          <w:sz w:val="20"/>
          <w:szCs w:val="20"/>
        </w:rPr>
        <w:t>„</w:t>
      </w:r>
      <w:r w:rsidRPr="00A031EC">
        <w:rPr>
          <w:rFonts w:ascii="Calibri" w:hAnsi="Calibri" w:cs="Calibri"/>
          <w:sz w:val="20"/>
          <w:szCs w:val="20"/>
        </w:rPr>
        <w:t>Smart City dla biznesu</w:t>
      </w:r>
      <w:r>
        <w:rPr>
          <w:rFonts w:ascii="Calibri" w:hAnsi="Calibri" w:cs="Calibri"/>
          <w:sz w:val="20"/>
          <w:szCs w:val="20"/>
        </w:rPr>
        <w:t>”, „</w:t>
      </w:r>
      <w:r w:rsidRPr="00A031EC">
        <w:rPr>
          <w:rFonts w:ascii="Calibri" w:hAnsi="Calibri" w:cs="Calibri"/>
          <w:sz w:val="20"/>
          <w:szCs w:val="20"/>
        </w:rPr>
        <w:t>Firma to ludzie</w:t>
      </w:r>
      <w:r>
        <w:rPr>
          <w:rFonts w:ascii="Calibri" w:hAnsi="Calibri" w:cs="Calibri"/>
          <w:sz w:val="20"/>
          <w:szCs w:val="20"/>
        </w:rPr>
        <w:t>”, „</w:t>
      </w:r>
      <w:r w:rsidRPr="00A031EC">
        <w:rPr>
          <w:rFonts w:ascii="Calibri" w:hAnsi="Calibri" w:cs="Calibri"/>
          <w:sz w:val="20"/>
          <w:szCs w:val="20"/>
        </w:rPr>
        <w:t>Marketing i sprzedaż</w:t>
      </w:r>
      <w:r>
        <w:rPr>
          <w:rFonts w:ascii="Calibri" w:hAnsi="Calibri" w:cs="Calibri"/>
          <w:sz w:val="20"/>
          <w:szCs w:val="20"/>
        </w:rPr>
        <w:t>”</w:t>
      </w:r>
      <w:r w:rsidRPr="00A031E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czy</w:t>
      </w:r>
      <w:r w:rsidRPr="00A031E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„</w:t>
      </w:r>
      <w:proofErr w:type="spellStart"/>
      <w:r>
        <w:rPr>
          <w:rFonts w:ascii="Calibri" w:hAnsi="Calibri" w:cs="Calibri"/>
          <w:sz w:val="20"/>
          <w:szCs w:val="20"/>
        </w:rPr>
        <w:t>Shape</w:t>
      </w:r>
      <w:proofErr w:type="spellEnd"/>
      <w:r>
        <w:rPr>
          <w:rFonts w:ascii="Calibri" w:hAnsi="Calibri" w:cs="Calibri"/>
          <w:sz w:val="20"/>
          <w:szCs w:val="20"/>
        </w:rPr>
        <w:t xml:space="preserve"> the </w:t>
      </w:r>
      <w:proofErr w:type="spellStart"/>
      <w:r>
        <w:rPr>
          <w:rFonts w:ascii="Calibri" w:hAnsi="Calibri" w:cs="Calibri"/>
          <w:sz w:val="20"/>
          <w:szCs w:val="20"/>
        </w:rPr>
        <w:t>future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now</w:t>
      </w:r>
      <w:proofErr w:type="spellEnd"/>
      <w:r>
        <w:rPr>
          <w:rFonts w:ascii="Calibri" w:hAnsi="Calibri" w:cs="Calibri"/>
          <w:sz w:val="20"/>
          <w:szCs w:val="20"/>
        </w:rPr>
        <w:t>”.</w:t>
      </w:r>
    </w:p>
    <w:p w14:paraId="3DE8030F" w14:textId="77777777" w:rsidR="00C71CBA" w:rsidRDefault="00C71CBA" w:rsidP="00C71CBA">
      <w:pPr>
        <w:jc w:val="both"/>
        <w:rPr>
          <w:rStyle w:val="Brak"/>
          <w:rFonts w:ascii="Calibri" w:eastAsia="Aptos" w:hAnsi="Calibri" w:cs="Calibri"/>
          <w:b/>
          <w:bCs/>
          <w:sz w:val="20"/>
          <w:szCs w:val="20"/>
        </w:rPr>
      </w:pPr>
      <w:r w:rsidRPr="00A031EC">
        <w:rPr>
          <w:rStyle w:val="Brak"/>
          <w:rFonts w:ascii="Calibri" w:eastAsia="Aptos" w:hAnsi="Calibri" w:cs="Calibri"/>
          <w:b/>
          <w:bCs/>
          <w:sz w:val="20"/>
          <w:szCs w:val="20"/>
        </w:rPr>
        <w:t>Smart City dla biznesu</w:t>
      </w:r>
    </w:p>
    <w:p w14:paraId="08CA1A1D" w14:textId="4FE20D47" w:rsidR="00C71CBA" w:rsidRPr="007522A8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7522A8">
        <w:rPr>
          <w:rStyle w:val="Brak"/>
          <w:rFonts w:ascii="Calibri" w:hAnsi="Calibri" w:cs="Calibri"/>
          <w:sz w:val="20"/>
          <w:szCs w:val="20"/>
        </w:rPr>
        <w:t xml:space="preserve">Drugiego dnia </w:t>
      </w:r>
      <w:r w:rsidR="0053570E">
        <w:rPr>
          <w:rStyle w:val="Brak"/>
          <w:rFonts w:ascii="Calibri" w:hAnsi="Calibri" w:cs="Calibri"/>
          <w:sz w:val="20"/>
          <w:szCs w:val="20"/>
        </w:rPr>
        <w:t>k</w:t>
      </w:r>
      <w:r w:rsidRPr="007522A8">
        <w:rPr>
          <w:rStyle w:val="Brak"/>
          <w:rFonts w:ascii="Calibri" w:hAnsi="Calibri" w:cs="Calibri"/>
          <w:sz w:val="20"/>
          <w:szCs w:val="20"/>
        </w:rPr>
        <w:t xml:space="preserve">ongresu szczególną uwagę poświęcono koncepcji smart </w:t>
      </w:r>
      <w:proofErr w:type="spellStart"/>
      <w:r w:rsidRPr="007522A8">
        <w:rPr>
          <w:rStyle w:val="Brak"/>
          <w:rFonts w:ascii="Calibri" w:hAnsi="Calibri" w:cs="Calibri"/>
          <w:sz w:val="20"/>
          <w:szCs w:val="20"/>
        </w:rPr>
        <w:t>city</w:t>
      </w:r>
      <w:proofErr w:type="spellEnd"/>
      <w:r w:rsidRPr="007522A8">
        <w:rPr>
          <w:rStyle w:val="Brak"/>
          <w:rFonts w:ascii="Calibri" w:hAnsi="Calibri" w:cs="Calibri"/>
          <w:sz w:val="20"/>
          <w:szCs w:val="20"/>
        </w:rPr>
        <w:t xml:space="preserve"> oraz jej kluczowej roli w rozwoju lokalnych przedsiębiorstw i poprawie jakości życia mieszkańców. W trakcie paneli pn.</w:t>
      </w:r>
      <w:r w:rsidR="0053570E">
        <w:rPr>
          <w:rStyle w:val="Brak"/>
          <w:rFonts w:ascii="Calibri" w:hAnsi="Calibri" w:cs="Calibri"/>
          <w:sz w:val="20"/>
          <w:szCs w:val="20"/>
        </w:rPr>
        <w:t>:</w:t>
      </w:r>
      <w:r w:rsidRPr="007522A8">
        <w:rPr>
          <w:rStyle w:val="Brak"/>
          <w:rFonts w:ascii="Calibri" w:hAnsi="Calibri" w:cs="Calibri"/>
          <w:sz w:val="20"/>
          <w:szCs w:val="20"/>
        </w:rPr>
        <w:t xml:space="preserve"> „Dlaczego miasto musi być smart, żeby być atrakcyjnym miejscem do życia i pracy?” oraz „Katowicki HUB </w:t>
      </w:r>
      <w:proofErr w:type="spellStart"/>
      <w:r w:rsidRPr="007522A8">
        <w:rPr>
          <w:rStyle w:val="Brak"/>
          <w:rFonts w:ascii="Calibri" w:hAnsi="Calibri" w:cs="Calibri"/>
          <w:sz w:val="20"/>
          <w:szCs w:val="20"/>
        </w:rPr>
        <w:t>Gamingowo</w:t>
      </w:r>
      <w:proofErr w:type="spellEnd"/>
      <w:r w:rsidRPr="007522A8">
        <w:rPr>
          <w:rStyle w:val="Brak"/>
          <w:rFonts w:ascii="Calibri" w:hAnsi="Calibri" w:cs="Calibri"/>
          <w:sz w:val="20"/>
          <w:szCs w:val="20"/>
        </w:rPr>
        <w:t>-Technologiczny: Miasto jako katalizator - współpraca lokalnych i międzynarodowych przedsiębiorców w erze cyfrowej” eksperci podkreślali, jak istotne jest połączenie wysiłków samorządów z innowacyjnością sektora prywatnego.</w:t>
      </w:r>
    </w:p>
    <w:p w14:paraId="4C587ED6" w14:textId="77777777" w:rsidR="00C71CBA" w:rsidRPr="007522A8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7522A8">
        <w:rPr>
          <w:rStyle w:val="Brak"/>
          <w:rFonts w:ascii="Calibri" w:hAnsi="Calibri" w:cs="Calibri"/>
          <w:sz w:val="20"/>
          <w:szCs w:val="20"/>
        </w:rPr>
        <w:t xml:space="preserve">– Bez współpracy samorządu i biznesu żadne miasto nie będzie smart. Poza działaniami miasta, to właśnie przedsiębiorcy wdrażają innowacyjne rozwiązania – zauważyła </w:t>
      </w:r>
      <w:r w:rsidRPr="00F65E5C">
        <w:rPr>
          <w:rStyle w:val="Brak"/>
          <w:rFonts w:ascii="Calibri" w:hAnsi="Calibri" w:cs="Calibri"/>
          <w:b/>
          <w:bCs/>
          <w:sz w:val="20"/>
          <w:szCs w:val="20"/>
        </w:rPr>
        <w:t>Ewa Lipka, Wiceprezes Zarządu Katowickiej Specjalnej Strefy Ekonomicznej S.A.</w:t>
      </w:r>
      <w:r w:rsidRPr="007522A8">
        <w:rPr>
          <w:rStyle w:val="Brak"/>
          <w:rFonts w:ascii="Calibri" w:hAnsi="Calibri" w:cs="Calibri"/>
          <w:sz w:val="20"/>
          <w:szCs w:val="20"/>
        </w:rPr>
        <w:t xml:space="preserve"> Podkreśliła, że innowacje technologiczne, takie jak inteligentne systemy zarządzania ruchem, efektywne zarządzanie energią czy projekty budujące ekologiczną infrastrukturę, mogą stać się rzeczywistością wyłącznie dzięki synergii miasta i biznesu.</w:t>
      </w:r>
    </w:p>
    <w:p w14:paraId="7A06A956" w14:textId="77777777" w:rsidR="00C71CBA" w:rsidRPr="007522A8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F65E5C">
        <w:rPr>
          <w:rStyle w:val="Brak"/>
          <w:rFonts w:ascii="Calibri" w:hAnsi="Calibri" w:cs="Calibri"/>
          <w:b/>
          <w:bCs/>
          <w:sz w:val="20"/>
          <w:szCs w:val="20"/>
        </w:rPr>
        <w:t>Damian Kołakowski, Zastępca Dyrektora Departamentu Infrastruktury i Środowiska w Górnośląsko-Zagłębiowskiej Metropolii</w:t>
      </w:r>
      <w:r w:rsidRPr="007522A8">
        <w:rPr>
          <w:rStyle w:val="Brak"/>
          <w:rFonts w:ascii="Calibri" w:hAnsi="Calibri" w:cs="Calibri"/>
          <w:sz w:val="20"/>
          <w:szCs w:val="20"/>
        </w:rPr>
        <w:t>, dodał, że samorządy znajdują się w "oku cyklonu" zmian. – Wystarczy, że słyszymy takie hasła jak „miasto 15-minutowe”, „zielona infrastruktura” czy „gospodarka obiegu zamkniętego” i wiemy, że w dużej mierze dzieje się to na poziomie samorządów – powiedział. Podkreślił, że na samorządach ciąży odpowiedzialność nie tylko za adaptację miast do nowych standardów ekologicznych i technologicznych, ale również za wyznaczanie trendów, które kształtują lokalne środowisko pracy i życia.</w:t>
      </w:r>
    </w:p>
    <w:p w14:paraId="6C9B4106" w14:textId="77777777" w:rsidR="00C71CBA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7522A8">
        <w:rPr>
          <w:rStyle w:val="Brak"/>
          <w:rFonts w:ascii="Calibri" w:hAnsi="Calibri" w:cs="Calibri"/>
          <w:sz w:val="20"/>
          <w:szCs w:val="20"/>
        </w:rPr>
        <w:t xml:space="preserve">Prelegenci wskazali również na kluczowe inicjatywy, takie jak Katowicki HUB </w:t>
      </w:r>
      <w:proofErr w:type="spellStart"/>
      <w:r w:rsidRPr="007522A8">
        <w:rPr>
          <w:rStyle w:val="Brak"/>
          <w:rFonts w:ascii="Calibri" w:hAnsi="Calibri" w:cs="Calibri"/>
          <w:sz w:val="20"/>
          <w:szCs w:val="20"/>
        </w:rPr>
        <w:t>Gamingowo</w:t>
      </w:r>
      <w:proofErr w:type="spellEnd"/>
      <w:r w:rsidRPr="007522A8">
        <w:rPr>
          <w:rStyle w:val="Brak"/>
          <w:rFonts w:ascii="Calibri" w:hAnsi="Calibri" w:cs="Calibri"/>
          <w:sz w:val="20"/>
          <w:szCs w:val="20"/>
        </w:rPr>
        <w:t>-Technologiczny, który ma stanowić platformę współpracy dla lokalnych i międzynarodowych przedsiębiorców działających w branży nowych technologii. Celem projektu jest przyciąganie firm specjalizujących się w grach komputerowych oraz sektorze IT, aby tworzyć przyjazny ekosystem pracy i innowacji.</w:t>
      </w:r>
    </w:p>
    <w:p w14:paraId="1B1A7BE4" w14:textId="77777777" w:rsidR="00C71CBA" w:rsidRPr="007522A8" w:rsidRDefault="00C71CBA" w:rsidP="00C71CBA">
      <w:pPr>
        <w:jc w:val="both"/>
        <w:rPr>
          <w:rStyle w:val="Brak"/>
          <w:rFonts w:ascii="Calibri" w:eastAsia="Aptos" w:hAnsi="Calibri" w:cs="Calibri"/>
          <w:b/>
          <w:bCs/>
          <w:sz w:val="20"/>
          <w:szCs w:val="20"/>
        </w:rPr>
      </w:pPr>
      <w:r w:rsidRPr="007522A8">
        <w:rPr>
          <w:rStyle w:val="Brak"/>
          <w:rFonts w:ascii="Calibri" w:eastAsia="Aptos" w:hAnsi="Calibri" w:cs="Calibri"/>
          <w:b/>
          <w:bCs/>
          <w:sz w:val="20"/>
          <w:szCs w:val="20"/>
        </w:rPr>
        <w:t>Wyzwania wdrażania nowych technologii i wpływ na rynek pracy</w:t>
      </w:r>
    </w:p>
    <w:p w14:paraId="620FA547" w14:textId="4F4393B9" w:rsidR="00C71CBA" w:rsidRPr="007522A8" w:rsidRDefault="00C71CBA" w:rsidP="00C71CBA">
      <w:pPr>
        <w:jc w:val="both"/>
        <w:rPr>
          <w:rStyle w:val="Brak"/>
          <w:rFonts w:ascii="Calibri" w:eastAsia="Aptos" w:hAnsi="Calibri" w:cs="Calibri"/>
          <w:sz w:val="20"/>
          <w:szCs w:val="20"/>
        </w:rPr>
      </w:pPr>
      <w:r w:rsidRPr="007522A8">
        <w:rPr>
          <w:rStyle w:val="Brak"/>
          <w:rFonts w:ascii="Calibri" w:eastAsia="Aptos" w:hAnsi="Calibri" w:cs="Calibri"/>
          <w:sz w:val="20"/>
          <w:szCs w:val="20"/>
        </w:rPr>
        <w:t>Podczas paneli „Edukacja i rozwój kompetencji cyfrowych: Jakie kompetencje cyfrowe są niezbędne dla współczesnych liderów i pracowników?”, „Śląski rynek pracy – nowe wyzwania” oraz „HR 4.0 Nowe Wyzwania i Trendy” omówiono, jak wdrażanie</w:t>
      </w:r>
      <w:r w:rsidR="0053570E">
        <w:rPr>
          <w:rStyle w:val="Brak"/>
          <w:rFonts w:ascii="Calibri" w:eastAsia="Aptos" w:hAnsi="Calibri" w:cs="Calibri"/>
          <w:sz w:val="20"/>
          <w:szCs w:val="20"/>
        </w:rPr>
        <w:t xml:space="preserve"> nowych</w:t>
      </w:r>
      <w:r w:rsidRPr="007522A8">
        <w:rPr>
          <w:rStyle w:val="Brak"/>
          <w:rFonts w:ascii="Calibri" w:eastAsia="Aptos" w:hAnsi="Calibri" w:cs="Calibri"/>
          <w:sz w:val="20"/>
          <w:szCs w:val="20"/>
        </w:rPr>
        <w:t xml:space="preserve"> technologii kształtuje rynek pracy i jakie kompetencje cyfrowe są dziś kluczowe. Uczestnicy zgodzili się, że dynamiczny rozwój technologii wymaga zarówno przygotowania pracowników, jak i elastyczności liderów.</w:t>
      </w:r>
    </w:p>
    <w:p w14:paraId="0D4491A0" w14:textId="13832D4D" w:rsidR="00C71CBA" w:rsidRPr="007522A8" w:rsidRDefault="00C71CBA" w:rsidP="00C71CBA">
      <w:pPr>
        <w:jc w:val="both"/>
        <w:rPr>
          <w:rStyle w:val="Brak"/>
          <w:rFonts w:ascii="Calibri" w:eastAsia="Aptos" w:hAnsi="Calibri" w:cs="Calibri"/>
          <w:sz w:val="20"/>
          <w:szCs w:val="20"/>
        </w:rPr>
      </w:pPr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>Mirosław Ruszkiewicz, Przewodniczący Konwentu Dyrektorów Powiatowych Urzędów Pracy Województwa Śląskiego</w:t>
      </w:r>
      <w:r w:rsidRPr="007522A8">
        <w:rPr>
          <w:rStyle w:val="Brak"/>
          <w:rFonts w:ascii="Calibri" w:eastAsia="Aptos" w:hAnsi="Calibri" w:cs="Calibri"/>
          <w:sz w:val="20"/>
          <w:szCs w:val="20"/>
        </w:rPr>
        <w:t>, podkreślił elastyczność i zdolność adaptacji urzędów pracy. – My jako dyrektorzy i pracownicy</w:t>
      </w:r>
      <w:r w:rsidR="004B7914" w:rsidRPr="004B7914">
        <w:rPr>
          <w:rStyle w:val="Brak"/>
          <w:rFonts w:ascii="Calibri" w:eastAsia="Aptos" w:hAnsi="Calibri" w:cs="Calibri"/>
          <w:sz w:val="20"/>
          <w:szCs w:val="20"/>
        </w:rPr>
        <w:t xml:space="preserve"> </w:t>
      </w:r>
      <w:r w:rsidR="004B7914" w:rsidRPr="007522A8">
        <w:rPr>
          <w:rStyle w:val="Brak"/>
          <w:rFonts w:ascii="Calibri" w:eastAsia="Aptos" w:hAnsi="Calibri" w:cs="Calibri"/>
          <w:sz w:val="20"/>
          <w:szCs w:val="20"/>
        </w:rPr>
        <w:t>Urzędu Pracy</w:t>
      </w:r>
      <w:r w:rsidRPr="007522A8">
        <w:rPr>
          <w:rStyle w:val="Brak"/>
          <w:rFonts w:ascii="Calibri" w:eastAsia="Aptos" w:hAnsi="Calibri" w:cs="Calibri"/>
          <w:sz w:val="20"/>
          <w:szCs w:val="20"/>
        </w:rPr>
        <w:t>, jesteśmy służbami specjalnymi. I zawsze damy radę – powiedział. W jego ocenie, odpowiednie wsparcie ze strony instytucji publicznych jest kluczowe, szczególnie w kontekście nowych wyzwań, takich jak cyfrowa transformacja i zmieniające się potrzeby rynku pracy.</w:t>
      </w:r>
    </w:p>
    <w:p w14:paraId="1A937221" w14:textId="77777777" w:rsidR="00C71CBA" w:rsidRPr="007522A8" w:rsidRDefault="00C71CBA" w:rsidP="00C71CBA">
      <w:pPr>
        <w:jc w:val="both"/>
        <w:rPr>
          <w:rStyle w:val="Brak"/>
          <w:rFonts w:ascii="Calibri" w:eastAsia="Aptos" w:hAnsi="Calibri" w:cs="Calibri"/>
          <w:sz w:val="20"/>
          <w:szCs w:val="20"/>
        </w:rPr>
      </w:pPr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>Danuta Kamińska, Wiceprzewodnicząca Zarządu Górnośląsko-Zagłębiowskiej Metropolii</w:t>
      </w:r>
      <w:r w:rsidRPr="007522A8">
        <w:rPr>
          <w:rStyle w:val="Brak"/>
          <w:rFonts w:ascii="Calibri" w:eastAsia="Aptos" w:hAnsi="Calibri" w:cs="Calibri"/>
          <w:sz w:val="20"/>
          <w:szCs w:val="20"/>
        </w:rPr>
        <w:t>, zaprezentowała narzędzie Info GZM, które agreguje dane o wszystkich 41 miastach regionu, ułatwiając przedsiębiorcom dostęp do lokalnych informacji. – Dane GUS niestety zbierają tylko dane w skali kraju, w skali województw, gmin i powiatów. Dlatego stworzyliśmy bazę Info GZM – powiedziała, wskazując, że dostęp do szczegółowych, lokalnych danych pozwala przedsiębiorcom lepiej planować działania i dostosowywać swoje strategie do specyfiki regionu.</w:t>
      </w:r>
    </w:p>
    <w:p w14:paraId="258E2F03" w14:textId="77777777" w:rsidR="00C71CBA" w:rsidRPr="007522A8" w:rsidRDefault="00C71CBA" w:rsidP="00C71CBA">
      <w:pPr>
        <w:jc w:val="both"/>
        <w:rPr>
          <w:rStyle w:val="Brak"/>
          <w:rFonts w:ascii="Calibri" w:eastAsia="Aptos" w:hAnsi="Calibri" w:cs="Calibri"/>
          <w:sz w:val="20"/>
          <w:szCs w:val="20"/>
        </w:rPr>
      </w:pPr>
      <w:r w:rsidRPr="007522A8">
        <w:rPr>
          <w:rStyle w:val="Brak"/>
          <w:rFonts w:ascii="Calibri" w:eastAsia="Aptos" w:hAnsi="Calibri" w:cs="Calibri"/>
          <w:sz w:val="20"/>
          <w:szCs w:val="20"/>
        </w:rPr>
        <w:lastRenderedPageBreak/>
        <w:t xml:space="preserve">Podczas dyskusji </w:t>
      </w:r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>Li Andersson, Przewodnicząca Komisji Zatrudnienia i Spraw Socjalnych Parlamentu Europejskiego</w:t>
      </w:r>
      <w:r w:rsidRPr="007522A8">
        <w:rPr>
          <w:rStyle w:val="Brak"/>
          <w:rFonts w:ascii="Calibri" w:eastAsia="Aptos" w:hAnsi="Calibri" w:cs="Calibri"/>
          <w:sz w:val="20"/>
          <w:szCs w:val="20"/>
        </w:rPr>
        <w:t>, przypomniała, że technologie same w sobie nie są ani dobre, ani złe. – Nie da się zatrzymać rozwoju technologicznego. Historia uczy nas, że żadna technologia nie jest zła albo dobra. To sposób w jaki jej używamy może być zły lub dobry. To samo dotyczy AI i rynku pracy – zauważyła, podkreślając potrzebę mądrego i etycznego podejścia do sztucznej inteligencji, szczególnie w kontekście jej wpływu na zatrudnienie.</w:t>
      </w:r>
    </w:p>
    <w:p w14:paraId="5AAE4374" w14:textId="77777777" w:rsidR="00C71CBA" w:rsidRPr="007522A8" w:rsidRDefault="00C71CBA" w:rsidP="00C71CBA">
      <w:pPr>
        <w:jc w:val="both"/>
        <w:rPr>
          <w:rStyle w:val="Brak"/>
          <w:rFonts w:ascii="Calibri" w:eastAsia="Aptos" w:hAnsi="Calibri" w:cs="Calibri"/>
          <w:sz w:val="20"/>
          <w:szCs w:val="20"/>
        </w:rPr>
      </w:pPr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 xml:space="preserve">Mario </w:t>
      </w:r>
      <w:proofErr w:type="spellStart"/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>Nava</w:t>
      </w:r>
      <w:proofErr w:type="spellEnd"/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>, Dyrektor Generalny Dyrekcji Generalnej KE ds. Zatrudnienia, Spraw Społecznych i Włączenia Społecznego</w:t>
      </w:r>
      <w:r w:rsidRPr="007522A8">
        <w:rPr>
          <w:rStyle w:val="Brak"/>
          <w:rFonts w:ascii="Calibri" w:eastAsia="Aptos" w:hAnsi="Calibri" w:cs="Calibri"/>
          <w:sz w:val="20"/>
          <w:szCs w:val="20"/>
        </w:rPr>
        <w:t>, zaznaczył, że Polska wyróżnia się na tle Europy pod względem inwestycji we wspólnotowe programy podnoszące kompetencje pracowników. – Spośród wszystkich europejskich firm, które korzystają ze wspólnotowego wsparcia dedykowanego podniesieniu kompetencji pracowników, aż 10% to firmy z Polski – poinformował, co świadczy o rosnącej świadomości przedsiębiorców na temat roli rozwoju kompetencji w budowaniu konkurencyjności.</w:t>
      </w:r>
    </w:p>
    <w:p w14:paraId="6A5EB046" w14:textId="77777777" w:rsidR="00C71CBA" w:rsidRDefault="00C71CBA" w:rsidP="00C71CBA">
      <w:pPr>
        <w:jc w:val="both"/>
        <w:rPr>
          <w:rStyle w:val="Brak"/>
          <w:rFonts w:ascii="Calibri" w:eastAsia="Aptos" w:hAnsi="Calibri" w:cs="Calibri"/>
          <w:sz w:val="20"/>
          <w:szCs w:val="20"/>
        </w:rPr>
      </w:pPr>
      <w:r w:rsidRPr="007522A8">
        <w:rPr>
          <w:rStyle w:val="Brak"/>
          <w:rFonts w:ascii="Calibri" w:eastAsia="Aptos" w:hAnsi="Calibri" w:cs="Calibri"/>
          <w:sz w:val="20"/>
          <w:szCs w:val="20"/>
        </w:rPr>
        <w:t xml:space="preserve">Z kolei </w:t>
      </w:r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 xml:space="preserve">Dariusz </w:t>
      </w:r>
      <w:proofErr w:type="spellStart"/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>Mandzijewicz</w:t>
      </w:r>
      <w:proofErr w:type="spellEnd"/>
      <w:r w:rsidRPr="00F65E5C">
        <w:rPr>
          <w:rStyle w:val="Brak"/>
          <w:rFonts w:ascii="Calibri" w:eastAsia="Aptos" w:hAnsi="Calibri" w:cs="Calibri"/>
          <w:b/>
          <w:bCs/>
          <w:sz w:val="20"/>
          <w:szCs w:val="20"/>
        </w:rPr>
        <w:t xml:space="preserve"> z ORLEN</w:t>
      </w:r>
      <w:r w:rsidRPr="007522A8">
        <w:rPr>
          <w:rStyle w:val="Brak"/>
          <w:rFonts w:ascii="Calibri" w:eastAsia="Aptos" w:hAnsi="Calibri" w:cs="Calibri"/>
          <w:sz w:val="20"/>
          <w:szCs w:val="20"/>
        </w:rPr>
        <w:t xml:space="preserve"> zwrócił uwagę na wyzwania, przed którymi stoją liderzy. W obliczu rosnących wymagań, szczególnie ze strony młodych pokoleń, liderzy muszą nie tylko nadążać za technologicznymi zmianami, ale także stanowić przykład dla swoich zespołów. – Zwróciliśmy szczególną uwagę na trudną rolę lidera, który w obliczu przytłaczającej liczby obowiązków musi stanowić przykład i wyznaczać kierunki rozwoju dla zespołów – powiedział, wskazując na potrzebę rozwijania kompetencji przywódczych i budowania zaangażowania w erze cyfrowej.</w:t>
      </w:r>
    </w:p>
    <w:p w14:paraId="4D9D664A" w14:textId="77777777" w:rsidR="00C71CBA" w:rsidRPr="007522A8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Marketing i nowe technologie w codziennej pracy</w:t>
      </w:r>
    </w:p>
    <w:p w14:paraId="2A69FE33" w14:textId="77777777" w:rsidR="00C71CBA" w:rsidRPr="007522A8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7522A8">
        <w:rPr>
          <w:rFonts w:ascii="Calibri" w:hAnsi="Calibri" w:cs="Calibri"/>
          <w:sz w:val="20"/>
          <w:szCs w:val="20"/>
        </w:rPr>
        <w:t>W trakcie paneli „Specyfika sponsoringu sportowego – wyzwania i benefity dla obu stron” oraz „Marketing 2077, czyli porozmawiajmy o przyszłości” uczestnicy podjęli tematy związane z ewolucją marketingu oraz specyficznymi korzyściami i wyzwaniami sponsoringu sportowego. W kontekście marketingu przyszłości eksperci zgodnie przyznali, że kluczowe będą technologie, które pozwolą na lepsze personalizowanie treści oraz interakcję z klientem w czasie rzeczywistym. Dzięki temu marki będą mogły oferować klientom bardziej spersonalizowane doświadczenia, odpowiadające ich indywidualnym potrzebom.</w:t>
      </w:r>
    </w:p>
    <w:p w14:paraId="3F49B1C9" w14:textId="11542FB6" w:rsidR="00C71CBA" w:rsidRPr="007522A8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7522A8">
        <w:rPr>
          <w:rFonts w:ascii="Calibri" w:hAnsi="Calibri" w:cs="Calibri"/>
          <w:sz w:val="20"/>
          <w:szCs w:val="20"/>
        </w:rPr>
        <w:t xml:space="preserve">Sponsoring </w:t>
      </w:r>
      <w:r w:rsidR="0053570E" w:rsidRPr="007522A8">
        <w:rPr>
          <w:rFonts w:ascii="Calibri" w:hAnsi="Calibri" w:cs="Calibri"/>
          <w:sz w:val="20"/>
          <w:szCs w:val="20"/>
        </w:rPr>
        <w:t>sportowy</w:t>
      </w:r>
      <w:r w:rsidR="0053570E">
        <w:rPr>
          <w:rFonts w:ascii="Calibri" w:hAnsi="Calibri" w:cs="Calibri"/>
          <w:sz w:val="20"/>
          <w:szCs w:val="20"/>
        </w:rPr>
        <w:t xml:space="preserve">, </w:t>
      </w:r>
      <w:r w:rsidRPr="007522A8">
        <w:rPr>
          <w:rFonts w:ascii="Calibri" w:hAnsi="Calibri" w:cs="Calibri"/>
          <w:sz w:val="20"/>
          <w:szCs w:val="20"/>
        </w:rPr>
        <w:t xml:space="preserve">jako forma marketingu, stanowi coraz bardziej zaawansowaną dziedzinę, w której zaangażowanie nie ogranicza się już tylko do wsparcia finansowego. Marki współpracujące z drużynami sportowymi stają się partnerami, budując relacje, które angażują nie tylko zawodników, ale i fanów. Dzięki tej współpracy mogą umacniać swoje wartości oraz zwiększać lojalność odbiorców. </w:t>
      </w:r>
      <w:proofErr w:type="spellStart"/>
      <w:r w:rsidRPr="007522A8">
        <w:rPr>
          <w:rFonts w:ascii="Calibri" w:hAnsi="Calibri" w:cs="Calibri"/>
          <w:sz w:val="20"/>
          <w:szCs w:val="20"/>
        </w:rPr>
        <w:t>Paneliści</w:t>
      </w:r>
      <w:proofErr w:type="spellEnd"/>
      <w:r w:rsidRPr="007522A8">
        <w:rPr>
          <w:rFonts w:ascii="Calibri" w:hAnsi="Calibri" w:cs="Calibri"/>
          <w:sz w:val="20"/>
          <w:szCs w:val="20"/>
        </w:rPr>
        <w:t xml:space="preserve"> podkreślili, że dla firm sponsoring sportowy to przede wszystkim sposób na budowanie autentycznego wizerunku poprzez bezpośrednią relację z kibicami.</w:t>
      </w:r>
    </w:p>
    <w:p w14:paraId="09363BE6" w14:textId="77777777" w:rsidR="00C71CBA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7522A8">
        <w:rPr>
          <w:rFonts w:ascii="Calibri" w:hAnsi="Calibri" w:cs="Calibri"/>
          <w:sz w:val="20"/>
          <w:szCs w:val="20"/>
        </w:rPr>
        <w:t xml:space="preserve">W kontekście cyfryzacji przedsiębiorstw i wykorzystania danych cyfrowych </w:t>
      </w:r>
      <w:r w:rsidRPr="00F65E5C">
        <w:rPr>
          <w:rFonts w:ascii="Calibri" w:hAnsi="Calibri" w:cs="Calibri"/>
          <w:b/>
          <w:bCs/>
          <w:sz w:val="20"/>
          <w:szCs w:val="20"/>
        </w:rPr>
        <w:t xml:space="preserve">dr inż. Artur </w:t>
      </w:r>
      <w:proofErr w:type="spellStart"/>
      <w:r w:rsidRPr="00F65E5C">
        <w:rPr>
          <w:rFonts w:ascii="Calibri" w:hAnsi="Calibri" w:cs="Calibri"/>
          <w:b/>
          <w:bCs/>
          <w:sz w:val="20"/>
          <w:szCs w:val="20"/>
        </w:rPr>
        <w:t>Pollak</w:t>
      </w:r>
      <w:proofErr w:type="spellEnd"/>
      <w:r w:rsidRPr="00F65E5C">
        <w:rPr>
          <w:rFonts w:ascii="Calibri" w:hAnsi="Calibri" w:cs="Calibri"/>
          <w:b/>
          <w:bCs/>
          <w:sz w:val="20"/>
          <w:szCs w:val="20"/>
        </w:rPr>
        <w:t xml:space="preserve">, Prezes Zarządu APA </w:t>
      </w:r>
      <w:proofErr w:type="spellStart"/>
      <w:r w:rsidRPr="00F65E5C">
        <w:rPr>
          <w:rFonts w:ascii="Calibri" w:hAnsi="Calibri" w:cs="Calibri"/>
          <w:b/>
          <w:bCs/>
          <w:sz w:val="20"/>
          <w:szCs w:val="20"/>
        </w:rPr>
        <w:t>Group</w:t>
      </w:r>
      <w:proofErr w:type="spellEnd"/>
      <w:r w:rsidRPr="007522A8">
        <w:rPr>
          <w:rFonts w:ascii="Calibri" w:hAnsi="Calibri" w:cs="Calibri"/>
          <w:sz w:val="20"/>
          <w:szCs w:val="20"/>
        </w:rPr>
        <w:t>, podzielił się praktycznymi wskazówkami dla sektora MŚP. – Bądźmy odważni i korzystajmy z możliwości sztucznej inteligencji. To narzędzie, dzięki któremu możemy nie tylko poprawić efektywność naszej pracy, ale także skutecznie budować komfort i dobrostan – podkreślił, wskazując na ogromny potencjał AI w optymalizacji procesów i tworzeniu przewagi konkurencyjnej. Digitalizacja umożliwia przedsiębiorstwom lepsze zarządzanie zasobami, szybkie reagowanie na zmiany rynkowe i dostosowywanie strategii biznesowej w oparciu o konkretne dane.</w:t>
      </w:r>
    </w:p>
    <w:p w14:paraId="00A48BCC" w14:textId="77777777" w:rsidR="00C71CBA" w:rsidRPr="0053570E" w:rsidRDefault="00C71CBA" w:rsidP="00C71CBA">
      <w:pPr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proofErr w:type="spellStart"/>
      <w:r w:rsidRPr="0053570E">
        <w:rPr>
          <w:rFonts w:ascii="Calibri" w:hAnsi="Calibri" w:cs="Calibri"/>
          <w:b/>
          <w:bCs/>
          <w:sz w:val="20"/>
          <w:szCs w:val="20"/>
          <w:lang w:val="en-US"/>
        </w:rPr>
        <w:t>Myśl</w:t>
      </w:r>
      <w:proofErr w:type="spellEnd"/>
      <w:r w:rsidRPr="0053570E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Pr="0053570E">
        <w:rPr>
          <w:rFonts w:ascii="Calibri" w:hAnsi="Calibri" w:cs="Calibri"/>
          <w:b/>
          <w:bCs/>
          <w:sz w:val="20"/>
          <w:szCs w:val="20"/>
          <w:lang w:val="en-US"/>
        </w:rPr>
        <w:t>przewodnia</w:t>
      </w:r>
      <w:proofErr w:type="spellEnd"/>
      <w:r w:rsidRPr="0053570E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Pr="0053570E">
        <w:rPr>
          <w:rFonts w:ascii="Calibri" w:hAnsi="Calibri" w:cs="Calibri"/>
          <w:b/>
          <w:bCs/>
          <w:sz w:val="20"/>
          <w:szCs w:val="20"/>
          <w:lang w:val="en-US"/>
        </w:rPr>
        <w:t>kongresu</w:t>
      </w:r>
      <w:proofErr w:type="spellEnd"/>
      <w:r w:rsidRPr="0053570E">
        <w:rPr>
          <w:rFonts w:ascii="Calibri" w:hAnsi="Calibri" w:cs="Calibri"/>
          <w:b/>
          <w:bCs/>
          <w:sz w:val="20"/>
          <w:szCs w:val="20"/>
          <w:lang w:val="en-US"/>
        </w:rPr>
        <w:t>: „Shape the future now”</w:t>
      </w:r>
    </w:p>
    <w:p w14:paraId="4393CF26" w14:textId="2A6DB133" w:rsidR="00C71CBA" w:rsidRPr="00F65E5C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F65E5C">
        <w:rPr>
          <w:rFonts w:ascii="Calibri" w:hAnsi="Calibri" w:cs="Calibri"/>
          <w:sz w:val="20"/>
          <w:szCs w:val="20"/>
        </w:rPr>
        <w:t>Tegoroczny Europejski Kongres Małych i Średnich Firm, odbywający się pod hasłem „</w:t>
      </w:r>
      <w:proofErr w:type="spellStart"/>
      <w:r w:rsidRPr="00F65E5C">
        <w:rPr>
          <w:rFonts w:ascii="Calibri" w:hAnsi="Calibri" w:cs="Calibri"/>
          <w:sz w:val="20"/>
          <w:szCs w:val="20"/>
        </w:rPr>
        <w:t>Shape</w:t>
      </w:r>
      <w:proofErr w:type="spellEnd"/>
      <w:r w:rsidRPr="00F65E5C">
        <w:rPr>
          <w:rFonts w:ascii="Calibri" w:hAnsi="Calibri" w:cs="Calibri"/>
          <w:sz w:val="20"/>
          <w:szCs w:val="20"/>
        </w:rPr>
        <w:t xml:space="preserve"> the </w:t>
      </w:r>
      <w:proofErr w:type="spellStart"/>
      <w:r w:rsidRPr="00F65E5C">
        <w:rPr>
          <w:rFonts w:ascii="Calibri" w:hAnsi="Calibri" w:cs="Calibri"/>
          <w:sz w:val="20"/>
          <w:szCs w:val="20"/>
        </w:rPr>
        <w:t>future</w:t>
      </w:r>
      <w:proofErr w:type="spellEnd"/>
      <w:r w:rsidRPr="00F65E5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65E5C">
        <w:rPr>
          <w:rFonts w:ascii="Calibri" w:hAnsi="Calibri" w:cs="Calibri"/>
          <w:sz w:val="20"/>
          <w:szCs w:val="20"/>
        </w:rPr>
        <w:t>now</w:t>
      </w:r>
      <w:proofErr w:type="spellEnd"/>
      <w:r w:rsidRPr="00F65E5C">
        <w:rPr>
          <w:rFonts w:ascii="Calibri" w:hAnsi="Calibri" w:cs="Calibri"/>
          <w:sz w:val="20"/>
          <w:szCs w:val="20"/>
        </w:rPr>
        <w:t xml:space="preserve">”, zachęcał uczestników do aktywnego kształtowania przyszłości gospodarczej już dziś. </w:t>
      </w:r>
      <w:r w:rsidRPr="00F65E5C">
        <w:rPr>
          <w:rFonts w:ascii="Calibri" w:hAnsi="Calibri" w:cs="Calibri"/>
          <w:b/>
          <w:bCs/>
          <w:sz w:val="20"/>
          <w:szCs w:val="20"/>
        </w:rPr>
        <w:t>Michał Dąbrowski, Prezes Zarządu Agencji Rozwoju Przemysłu S.A.</w:t>
      </w:r>
      <w:r w:rsidRPr="00F65E5C">
        <w:rPr>
          <w:rFonts w:ascii="Calibri" w:hAnsi="Calibri" w:cs="Calibri"/>
          <w:sz w:val="20"/>
          <w:szCs w:val="20"/>
        </w:rPr>
        <w:t>, zwrócił uwagę, że w obliczu dynamicznych zmian globalnych można by zinterpretować hasło również jako „</w:t>
      </w:r>
      <w:proofErr w:type="spellStart"/>
      <w:r w:rsidRPr="00F65E5C">
        <w:rPr>
          <w:rFonts w:ascii="Calibri" w:hAnsi="Calibri" w:cs="Calibri"/>
          <w:sz w:val="20"/>
          <w:szCs w:val="20"/>
        </w:rPr>
        <w:t>Shake</w:t>
      </w:r>
      <w:proofErr w:type="spellEnd"/>
      <w:r w:rsidRPr="00F65E5C">
        <w:rPr>
          <w:rFonts w:ascii="Calibri" w:hAnsi="Calibri" w:cs="Calibri"/>
          <w:sz w:val="20"/>
          <w:szCs w:val="20"/>
        </w:rPr>
        <w:t xml:space="preserve"> the </w:t>
      </w:r>
      <w:proofErr w:type="spellStart"/>
      <w:r w:rsidRPr="00F65E5C">
        <w:rPr>
          <w:rFonts w:ascii="Calibri" w:hAnsi="Calibri" w:cs="Calibri"/>
          <w:sz w:val="20"/>
          <w:szCs w:val="20"/>
        </w:rPr>
        <w:t>Future</w:t>
      </w:r>
      <w:proofErr w:type="spellEnd"/>
      <w:r w:rsidRPr="00F65E5C">
        <w:rPr>
          <w:rFonts w:ascii="Calibri" w:hAnsi="Calibri" w:cs="Calibri"/>
          <w:sz w:val="20"/>
          <w:szCs w:val="20"/>
        </w:rPr>
        <w:t xml:space="preserve">”. – Wydaje się, że można powiedzieć również </w:t>
      </w:r>
      <w:proofErr w:type="spellStart"/>
      <w:r w:rsidRPr="00F65E5C">
        <w:rPr>
          <w:rFonts w:ascii="Calibri" w:hAnsi="Calibri" w:cs="Calibri"/>
          <w:sz w:val="20"/>
          <w:szCs w:val="20"/>
        </w:rPr>
        <w:t>Shake</w:t>
      </w:r>
      <w:proofErr w:type="spellEnd"/>
      <w:r w:rsidRPr="00F65E5C">
        <w:rPr>
          <w:rFonts w:ascii="Calibri" w:hAnsi="Calibri" w:cs="Calibri"/>
          <w:sz w:val="20"/>
          <w:szCs w:val="20"/>
        </w:rPr>
        <w:t xml:space="preserve"> the </w:t>
      </w:r>
      <w:proofErr w:type="spellStart"/>
      <w:r w:rsidRPr="00F65E5C">
        <w:rPr>
          <w:rFonts w:ascii="Calibri" w:hAnsi="Calibri" w:cs="Calibri"/>
          <w:sz w:val="20"/>
          <w:szCs w:val="20"/>
        </w:rPr>
        <w:t>Future</w:t>
      </w:r>
      <w:proofErr w:type="spellEnd"/>
      <w:r w:rsidRPr="00F65E5C">
        <w:rPr>
          <w:rFonts w:ascii="Calibri" w:hAnsi="Calibri" w:cs="Calibri"/>
          <w:sz w:val="20"/>
          <w:szCs w:val="20"/>
        </w:rPr>
        <w:t>, dlatego że tak naprawdę ta gospodarka globalna, zwłaszcza dzisiaj, nabrała zupełnie innego wymiaru – zauważył. Podkreślił, że wyzwania stojące przed globalną gospodarką wymagają od przedsiębiorstw i samorządów elastyczności i gotowości do szybkiego reagowania na zmiany.</w:t>
      </w:r>
    </w:p>
    <w:p w14:paraId="187ECDEF" w14:textId="77777777" w:rsidR="00C71CBA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F65E5C">
        <w:rPr>
          <w:rFonts w:ascii="Calibri" w:hAnsi="Calibri" w:cs="Calibri"/>
          <w:b/>
          <w:bCs/>
          <w:sz w:val="20"/>
          <w:szCs w:val="20"/>
        </w:rPr>
        <w:t>Hanna Zdanowska, Prezydent Łodzi i Członkini Europejskiego Komitetu Regionów</w:t>
      </w:r>
      <w:r w:rsidRPr="00F65E5C">
        <w:rPr>
          <w:rFonts w:ascii="Calibri" w:hAnsi="Calibri" w:cs="Calibri"/>
          <w:sz w:val="20"/>
          <w:szCs w:val="20"/>
        </w:rPr>
        <w:t xml:space="preserve">, wspomniała o wyzwaniach, z jakimi musiała zmierzyć się Łódź w przeszłości, aby zbudować nowe szanse dla młodych pokoleń. – Łódź po upadku przemysłu włókienniczego nie dała żadnych szans rozwojowych młodym ludziom. Dziś dzięki podjętym wysiłkom w Łodzi mamy już dodatnie saldo w bilansie przyjeżdzających/wyjeżdzających młodych ludzi – powiedziała. W jej ocenie transformacja miasta stała się możliwa dzięki długofalowym działaniom dostosowującym rynek pracy i edukację do nowoczesnych </w:t>
      </w:r>
      <w:r w:rsidRPr="00F65E5C">
        <w:rPr>
          <w:rFonts w:ascii="Calibri" w:hAnsi="Calibri" w:cs="Calibri"/>
          <w:sz w:val="20"/>
          <w:szCs w:val="20"/>
        </w:rPr>
        <w:lastRenderedPageBreak/>
        <w:t>standardów oraz potrzeb młodego pokolenia, które obecnie coraz częściej wybiera Łódź jako miejsce rozwoju zawodowego</w:t>
      </w:r>
      <w:r>
        <w:rPr>
          <w:rFonts w:ascii="Calibri" w:hAnsi="Calibri" w:cs="Calibri"/>
          <w:sz w:val="20"/>
          <w:szCs w:val="20"/>
        </w:rPr>
        <w:t>.</w:t>
      </w:r>
    </w:p>
    <w:p w14:paraId="53AF02B2" w14:textId="75DD58AB" w:rsidR="00C71CBA" w:rsidRPr="00355601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355601">
        <w:rPr>
          <w:rFonts w:ascii="Calibri" w:hAnsi="Calibri" w:cs="Calibri"/>
          <w:b/>
          <w:bCs/>
          <w:sz w:val="20"/>
          <w:szCs w:val="20"/>
        </w:rPr>
        <w:t>Arkadiusz Chęciński, Prezydent Miasta Sosnowiec</w:t>
      </w:r>
      <w:r w:rsidRPr="00355601">
        <w:rPr>
          <w:rFonts w:ascii="Calibri" w:hAnsi="Calibri" w:cs="Calibri"/>
          <w:sz w:val="20"/>
          <w:szCs w:val="20"/>
        </w:rPr>
        <w:t xml:space="preserve">, w swoim wystąpieniu podczas Kongresu podkreślił, że jednym z głównych celów jest stworzenie warunków, w których </w:t>
      </w:r>
      <w:r w:rsidR="004B7914">
        <w:rPr>
          <w:rFonts w:ascii="Calibri" w:hAnsi="Calibri" w:cs="Calibri"/>
          <w:sz w:val="20"/>
          <w:szCs w:val="20"/>
        </w:rPr>
        <w:t>wartościowa i ambitna</w:t>
      </w:r>
      <w:r w:rsidRPr="00355601">
        <w:rPr>
          <w:rFonts w:ascii="Calibri" w:hAnsi="Calibri" w:cs="Calibri"/>
          <w:sz w:val="20"/>
          <w:szCs w:val="20"/>
        </w:rPr>
        <w:t xml:space="preserve"> </w:t>
      </w:r>
      <w:r w:rsidR="004B7914">
        <w:rPr>
          <w:rFonts w:ascii="Calibri" w:hAnsi="Calibri" w:cs="Calibri"/>
          <w:sz w:val="20"/>
          <w:szCs w:val="20"/>
        </w:rPr>
        <w:t>młodzież</w:t>
      </w:r>
      <w:r w:rsidRPr="00355601">
        <w:rPr>
          <w:rFonts w:ascii="Calibri" w:hAnsi="Calibri" w:cs="Calibri"/>
          <w:sz w:val="20"/>
          <w:szCs w:val="20"/>
        </w:rPr>
        <w:t xml:space="preserve"> </w:t>
      </w:r>
      <w:r w:rsidR="004B7914">
        <w:rPr>
          <w:rFonts w:ascii="Calibri" w:hAnsi="Calibri" w:cs="Calibri"/>
          <w:sz w:val="20"/>
          <w:szCs w:val="20"/>
        </w:rPr>
        <w:t>nie będzie wyjeżdżała z</w:t>
      </w:r>
      <w:r w:rsidRPr="00355601">
        <w:rPr>
          <w:rFonts w:ascii="Calibri" w:hAnsi="Calibri" w:cs="Calibri"/>
          <w:sz w:val="20"/>
          <w:szCs w:val="20"/>
        </w:rPr>
        <w:t xml:space="preserve"> Pols</w:t>
      </w:r>
      <w:r w:rsidR="004B7914">
        <w:rPr>
          <w:rFonts w:ascii="Calibri" w:hAnsi="Calibri" w:cs="Calibri"/>
          <w:sz w:val="20"/>
          <w:szCs w:val="20"/>
        </w:rPr>
        <w:t>ki</w:t>
      </w:r>
      <w:r w:rsidRPr="00355601">
        <w:rPr>
          <w:rFonts w:ascii="Calibri" w:hAnsi="Calibri" w:cs="Calibri"/>
          <w:sz w:val="20"/>
          <w:szCs w:val="20"/>
        </w:rPr>
        <w:t>. – Naszym celem jest także stworzenie warunków, w których młodzi, utalentowani ludzie, zdobywający międzynarodowe sukcesy, zechcą rozwijać swoje kariery w kraju – stwierdził.</w:t>
      </w:r>
    </w:p>
    <w:p w14:paraId="7C073B54" w14:textId="4DD4DA3B" w:rsidR="00C71CBA" w:rsidRPr="00355601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355601">
        <w:rPr>
          <w:rFonts w:ascii="Calibri" w:hAnsi="Calibri" w:cs="Calibri"/>
          <w:sz w:val="20"/>
          <w:szCs w:val="20"/>
        </w:rPr>
        <w:t>Chęciński wyraził przekonanie, że inicjatywy takie jak Europejski Kongres Małych i Średnich Firm</w:t>
      </w:r>
      <w:r w:rsidR="004B7914">
        <w:rPr>
          <w:rFonts w:ascii="Calibri" w:hAnsi="Calibri" w:cs="Calibri"/>
          <w:sz w:val="20"/>
          <w:szCs w:val="20"/>
        </w:rPr>
        <w:t>,</w:t>
      </w:r>
      <w:r w:rsidRPr="00355601">
        <w:rPr>
          <w:rFonts w:ascii="Calibri" w:hAnsi="Calibri" w:cs="Calibri"/>
          <w:sz w:val="20"/>
          <w:szCs w:val="20"/>
        </w:rPr>
        <w:t xml:space="preserve"> mogą istotnie przyczynić się do budowy przyjaznego środowiska dla rozwoju polskich przedsiębiorstw. </w:t>
      </w:r>
    </w:p>
    <w:p w14:paraId="3C7C0F76" w14:textId="77777777" w:rsidR="00C71CBA" w:rsidRPr="00F65E5C" w:rsidRDefault="00C71CBA" w:rsidP="00C71CBA">
      <w:pPr>
        <w:jc w:val="both"/>
        <w:rPr>
          <w:rStyle w:val="Brak"/>
          <w:rFonts w:ascii="Calibri" w:hAnsi="Calibri" w:cs="Calibri"/>
          <w:b/>
          <w:bCs/>
          <w:sz w:val="20"/>
          <w:szCs w:val="20"/>
        </w:rPr>
      </w:pPr>
      <w:r w:rsidRPr="00F65E5C">
        <w:rPr>
          <w:rStyle w:val="Brak"/>
          <w:rFonts w:ascii="Calibri" w:hAnsi="Calibri" w:cs="Calibri"/>
          <w:b/>
          <w:bCs/>
          <w:sz w:val="20"/>
          <w:szCs w:val="20"/>
        </w:rPr>
        <w:t>Bezpieczeństwo i obronność – fundamenty odporności państwa</w:t>
      </w:r>
    </w:p>
    <w:p w14:paraId="7E69E4C6" w14:textId="77777777" w:rsidR="00C71CBA" w:rsidRPr="00F65E5C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F65E5C">
        <w:rPr>
          <w:rStyle w:val="Brak"/>
          <w:rFonts w:ascii="Calibri" w:hAnsi="Calibri" w:cs="Calibri"/>
          <w:sz w:val="20"/>
          <w:szCs w:val="20"/>
        </w:rPr>
        <w:t xml:space="preserve">Jednym z kluczowych tematów tegorocznego Kongresu były kwestie związane z bezpieczeństwem i obronnością, które w obecnych czasach nabierają szczególnego znaczenia. </w:t>
      </w:r>
      <w:r w:rsidRPr="00F65E5C">
        <w:rPr>
          <w:rStyle w:val="Brak"/>
          <w:rFonts w:ascii="Calibri" w:hAnsi="Calibri" w:cs="Calibri"/>
          <w:b/>
          <w:bCs/>
          <w:sz w:val="20"/>
          <w:szCs w:val="20"/>
        </w:rPr>
        <w:t xml:space="preserve">Wojciech </w:t>
      </w:r>
      <w:proofErr w:type="spellStart"/>
      <w:r w:rsidRPr="00F65E5C">
        <w:rPr>
          <w:rStyle w:val="Brak"/>
          <w:rFonts w:ascii="Calibri" w:hAnsi="Calibri" w:cs="Calibri"/>
          <w:b/>
          <w:bCs/>
          <w:sz w:val="20"/>
          <w:szCs w:val="20"/>
        </w:rPr>
        <w:t>Saługa</w:t>
      </w:r>
      <w:proofErr w:type="spellEnd"/>
      <w:r w:rsidRPr="00F65E5C">
        <w:rPr>
          <w:rStyle w:val="Brak"/>
          <w:rFonts w:ascii="Calibri" w:hAnsi="Calibri" w:cs="Calibri"/>
          <w:b/>
          <w:bCs/>
          <w:sz w:val="20"/>
          <w:szCs w:val="20"/>
        </w:rPr>
        <w:t>, Marszałek Województwa Śląskiego</w:t>
      </w:r>
      <w:r w:rsidRPr="00F65E5C">
        <w:rPr>
          <w:rStyle w:val="Brak"/>
          <w:rFonts w:ascii="Calibri" w:hAnsi="Calibri" w:cs="Calibri"/>
          <w:sz w:val="20"/>
          <w:szCs w:val="20"/>
        </w:rPr>
        <w:t>, zwrócił uwagę, że budowanie odporności państwa nie może ograniczać się wyłącznie do działań militarnych. – Do budowania odporności państwa potrzebne jest nie tylko samo wojsko, ale również zaangażowanie władz na wszystkich szczeblach, logistyka i infrastruktura oraz wiele innych czynników – powiedział.</w:t>
      </w:r>
    </w:p>
    <w:p w14:paraId="3F7A8800" w14:textId="77777777" w:rsidR="00C71CBA" w:rsidRPr="00F65E5C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F65E5C">
        <w:rPr>
          <w:rStyle w:val="Brak"/>
          <w:rFonts w:ascii="Calibri" w:hAnsi="Calibri" w:cs="Calibri"/>
          <w:sz w:val="20"/>
          <w:szCs w:val="20"/>
        </w:rPr>
        <w:t xml:space="preserve">Marszałek </w:t>
      </w:r>
      <w:proofErr w:type="spellStart"/>
      <w:r w:rsidRPr="00F65E5C">
        <w:rPr>
          <w:rStyle w:val="Brak"/>
          <w:rFonts w:ascii="Calibri" w:hAnsi="Calibri" w:cs="Calibri"/>
          <w:sz w:val="20"/>
          <w:szCs w:val="20"/>
        </w:rPr>
        <w:t>Saługa</w:t>
      </w:r>
      <w:proofErr w:type="spellEnd"/>
      <w:r w:rsidRPr="00F65E5C">
        <w:rPr>
          <w:rStyle w:val="Brak"/>
          <w:rFonts w:ascii="Calibri" w:hAnsi="Calibri" w:cs="Calibri"/>
          <w:sz w:val="20"/>
          <w:szCs w:val="20"/>
        </w:rPr>
        <w:t xml:space="preserve"> podkreślił, że tworzenie skutecznego systemu obronności wymaga ścisłej współpracy wszystkich poziomów administracji oraz społeczeństwa. Dopiero dobrze zorganizowana struktura, która uwzględnia zarówno zasoby, jak i logistykę w sytuacjach kryzysowych, może zapewnić skuteczną ochronę obywateli. – Musimy opracować przejrzysty, kompleksowy system, który pokaże, gdzie są magazyny i jakie zasoby są potrzebne w sytuacjach kryzysowych, zamiast kupować w jednym momencie wodę mineralną i łopaty, których finalnie nie ma gdzie składować – wyjaśnił. Taka strategia zapobiegnie nieefektywnemu zarządzaniu zasobami i pozwoli na szybkie reagowanie w obliczu nagłych zagrożeń.</w:t>
      </w:r>
    </w:p>
    <w:p w14:paraId="5AC03C71" w14:textId="77777777" w:rsidR="00C71CBA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r w:rsidRPr="00F65E5C">
        <w:rPr>
          <w:rStyle w:val="Brak"/>
          <w:rFonts w:ascii="Calibri" w:hAnsi="Calibri" w:cs="Calibri"/>
          <w:sz w:val="20"/>
          <w:szCs w:val="20"/>
        </w:rPr>
        <w:t>Dyskusja na temat bezpieczeństwa pokazała, że budowanie odporności jest procesem złożonym, wymagającym planowania i współpracy wszystkich uczestników życia społecznego.</w:t>
      </w:r>
    </w:p>
    <w:p w14:paraId="1BDBB017" w14:textId="01F408F3" w:rsidR="00C71CBA" w:rsidRPr="00FC1535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###</w:t>
      </w:r>
      <w:r>
        <w:rPr>
          <w:rFonts w:ascii="Calibri" w:hAnsi="Calibri" w:cs="Calibri"/>
          <w:sz w:val="20"/>
          <w:szCs w:val="20"/>
        </w:rPr>
        <w:br/>
      </w:r>
      <w:r>
        <w:rPr>
          <w:rFonts w:ascii="Calibri" w:hAnsi="Calibri" w:cs="Calibri"/>
          <w:sz w:val="20"/>
          <w:szCs w:val="20"/>
        </w:rPr>
        <w:br/>
      </w:r>
      <w:r w:rsidRPr="00C71CBA">
        <w:rPr>
          <w:rFonts w:ascii="Calibri" w:hAnsi="Calibri" w:cs="Calibri"/>
          <w:b/>
          <w:bCs/>
          <w:sz w:val="20"/>
          <w:szCs w:val="20"/>
        </w:rPr>
        <w:t xml:space="preserve">ILUSTRACJA FOTOGRAFICZNA: </w:t>
      </w:r>
      <w:hyperlink r:id="rId8" w:history="1">
        <w:r w:rsidRPr="00C71CBA">
          <w:rPr>
            <w:rStyle w:val="Hipercze"/>
            <w:rFonts w:ascii="Calibri" w:hAnsi="Calibri" w:cs="Calibri"/>
            <w:b/>
            <w:bCs/>
            <w:sz w:val="20"/>
            <w:szCs w:val="20"/>
          </w:rPr>
          <w:t>https://cutt.ly/YeFS0vqL</w:t>
        </w:r>
      </w:hyperlink>
    </w:p>
    <w:p w14:paraId="55FF318E" w14:textId="77777777" w:rsidR="00C71CBA" w:rsidRPr="00FC1535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---</w:t>
      </w:r>
    </w:p>
    <w:p w14:paraId="3A1CEE33" w14:textId="77777777" w:rsidR="00C71CBA" w:rsidRPr="00FC1535" w:rsidRDefault="00C71CBA" w:rsidP="00C71CBA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Kontakt dla mediów: </w:t>
      </w:r>
      <w:r>
        <w:rPr>
          <w:rFonts w:ascii="Calibri" w:hAnsi="Calibri" w:cs="Calibri"/>
          <w:sz w:val="18"/>
          <w:szCs w:val="18"/>
        </w:rPr>
        <w:t>Magdalena Jarocka</w:t>
      </w:r>
      <w:r w:rsidRPr="00FC1535"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sz w:val="18"/>
          <w:szCs w:val="18"/>
        </w:rPr>
        <w:t xml:space="preserve"> dyrektor ds. PR i marketingu</w:t>
      </w:r>
      <w:r w:rsidRPr="00FC1535">
        <w:rPr>
          <w:rFonts w:ascii="Calibri" w:hAnsi="Calibri" w:cs="Calibri"/>
          <w:sz w:val="18"/>
          <w:szCs w:val="18"/>
        </w:rPr>
        <w:t xml:space="preserve"> +48</w:t>
      </w:r>
      <w:r>
        <w:rPr>
          <w:rFonts w:ascii="Calibri" w:hAnsi="Calibri" w:cs="Calibri"/>
          <w:sz w:val="18"/>
          <w:szCs w:val="18"/>
        </w:rPr>
        <w:t> 534 221 566</w:t>
      </w:r>
      <w:r w:rsidRPr="00FC1535">
        <w:rPr>
          <w:rFonts w:ascii="Calibri" w:hAnsi="Calibri" w:cs="Calibri"/>
          <w:sz w:val="18"/>
          <w:szCs w:val="18"/>
        </w:rPr>
        <w:t xml:space="preserve">, </w:t>
      </w:r>
      <w:r>
        <w:rPr>
          <w:rFonts w:ascii="Calibri" w:hAnsi="Calibri" w:cs="Calibri"/>
          <w:sz w:val="18"/>
          <w:szCs w:val="18"/>
        </w:rPr>
        <w:t>mjarocka@rig.katowice.pl</w:t>
      </w:r>
    </w:p>
    <w:p w14:paraId="02EAFDA9" w14:textId="77777777" w:rsidR="00C71CBA" w:rsidRPr="00FA3BA4" w:rsidRDefault="00C71CBA" w:rsidP="00C71CBA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Ten komunikat prasowy został przygotowany przez organizatorów wydarzenia. Więcej informacji można znaleźć na stronie EKMŚP www.ekmsp.eu. Zachęcamy ogólnopolskie, regionalne oraz lokalne media do udziału i relacjonowania tego wyjątkowego wydarzenia. Dla przedstawicieli mediów zostały przygotowane specjalne </w:t>
      </w:r>
      <w:proofErr w:type="spellStart"/>
      <w:r w:rsidRPr="00FC1535">
        <w:rPr>
          <w:rFonts w:ascii="Calibri" w:hAnsi="Calibri" w:cs="Calibri"/>
          <w:sz w:val="18"/>
          <w:szCs w:val="18"/>
        </w:rPr>
        <w:t>udogodnienia,aby</w:t>
      </w:r>
      <w:proofErr w:type="spellEnd"/>
      <w:r w:rsidRPr="00FC1535">
        <w:rPr>
          <w:rFonts w:ascii="Calibri" w:hAnsi="Calibri" w:cs="Calibri"/>
          <w:sz w:val="18"/>
          <w:szCs w:val="18"/>
        </w:rPr>
        <w:t xml:space="preserve"> umożliwić im jak najszybszą i komfortową pracę dziennikarską.</w:t>
      </w:r>
      <w:bookmarkEnd w:id="0"/>
    </w:p>
    <w:p w14:paraId="0FC82929" w14:textId="55404F08" w:rsidR="00E42C8C" w:rsidRDefault="003E610B" w:rsidP="003E610B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1F24DC12" wp14:editId="641B632C">
            <wp:extent cx="4755004" cy="8343900"/>
            <wp:effectExtent l="0" t="0" r="7620" b="0"/>
            <wp:docPr id="20562221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22121" name="Obraz 20562221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45"/>
                    <a:stretch/>
                  </pic:blipFill>
                  <pic:spPr bwMode="auto">
                    <a:xfrm>
                      <a:off x="0" y="0"/>
                      <a:ext cx="4762930" cy="8357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B2B39" w14:textId="62EBFAB1" w:rsidR="003E610B" w:rsidRPr="00FC1535" w:rsidRDefault="003E610B" w:rsidP="003E610B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11FD5655" wp14:editId="3EE5C249">
            <wp:extent cx="5476951" cy="8077200"/>
            <wp:effectExtent l="0" t="0" r="9525" b="0"/>
            <wp:docPr id="9223237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22121" name="Obraz 20562221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02"/>
                    <a:stretch/>
                  </pic:blipFill>
                  <pic:spPr bwMode="auto">
                    <a:xfrm>
                      <a:off x="0" y="0"/>
                      <a:ext cx="5494867" cy="810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610B" w:rsidRPr="00FC1535" w:rsidSect="005B628C">
      <w:headerReference w:type="default" r:id="rId10"/>
      <w:footerReference w:type="default" r:id="rId11"/>
      <w:pgSz w:w="11906" w:h="16838"/>
      <w:pgMar w:top="181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5DD6F" w14:textId="77777777" w:rsidR="00C2551A" w:rsidRDefault="00C2551A" w:rsidP="00205A38">
      <w:pPr>
        <w:spacing w:after="0" w:line="240" w:lineRule="auto"/>
      </w:pPr>
      <w:r>
        <w:separator/>
      </w:r>
    </w:p>
  </w:endnote>
  <w:endnote w:type="continuationSeparator" w:id="0">
    <w:p w14:paraId="6CDD4A62" w14:textId="77777777" w:rsidR="00C2551A" w:rsidRDefault="00C2551A" w:rsidP="0020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55E84" w14:textId="3D78B473" w:rsidR="00205A38" w:rsidRDefault="00EA3F94" w:rsidP="00205A38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56B7C3" wp14:editId="265FB9F1">
          <wp:simplePos x="0" y="0"/>
          <wp:positionH relativeFrom="margin">
            <wp:posOffset>0</wp:posOffset>
          </wp:positionH>
          <wp:positionV relativeFrom="paragraph">
            <wp:posOffset>-8890</wp:posOffset>
          </wp:positionV>
          <wp:extent cx="1209675" cy="210185"/>
          <wp:effectExtent l="0" t="0" r="9525" b="0"/>
          <wp:wrapNone/>
          <wp:docPr id="188683408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8340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21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EAB723B" wp14:editId="416D27D2">
          <wp:simplePos x="0" y="0"/>
          <wp:positionH relativeFrom="column">
            <wp:posOffset>5516880</wp:posOffset>
          </wp:positionH>
          <wp:positionV relativeFrom="paragraph">
            <wp:posOffset>-193675</wp:posOffset>
          </wp:positionV>
          <wp:extent cx="581025" cy="581025"/>
          <wp:effectExtent l="0" t="0" r="9525" b="9525"/>
          <wp:wrapNone/>
          <wp:docPr id="1692494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tab/>
      <w:t xml:space="preserve">                                                                                         </w:t>
    </w:r>
    <w:r w:rsidR="005B628C">
      <w:t xml:space="preserve">Press </w:t>
    </w:r>
    <w:r>
      <w:t>R</w:t>
    </w:r>
    <w:r w:rsidR="005B628C">
      <w:t>oom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A728E" w14:textId="77777777" w:rsidR="00C2551A" w:rsidRDefault="00C2551A" w:rsidP="00205A38">
      <w:pPr>
        <w:spacing w:after="0" w:line="240" w:lineRule="auto"/>
      </w:pPr>
      <w:r>
        <w:separator/>
      </w:r>
    </w:p>
  </w:footnote>
  <w:footnote w:type="continuationSeparator" w:id="0">
    <w:p w14:paraId="3FDFA30E" w14:textId="77777777" w:rsidR="00C2551A" w:rsidRDefault="00C2551A" w:rsidP="0020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60BA3" w14:textId="6350123E" w:rsidR="00205A38" w:rsidRPr="005B628C" w:rsidRDefault="00EA3F94">
    <w:pPr>
      <w:pStyle w:val="Nagwek"/>
      <w:rPr>
        <w:b/>
        <w:bCs/>
      </w:rPr>
    </w:pPr>
    <w:r w:rsidRPr="005B628C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2A0BBAA3" wp14:editId="0904E6BF">
          <wp:simplePos x="0" y="0"/>
          <wp:positionH relativeFrom="column">
            <wp:posOffset>3977005</wp:posOffset>
          </wp:positionH>
          <wp:positionV relativeFrom="paragraph">
            <wp:posOffset>-125730</wp:posOffset>
          </wp:positionV>
          <wp:extent cx="1809750" cy="319405"/>
          <wp:effectExtent l="0" t="0" r="0" b="4445"/>
          <wp:wrapNone/>
          <wp:docPr id="1199012726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1272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628C" w:rsidRPr="005B628C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065395D" wp14:editId="11D8C4B2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989667" cy="533400"/>
          <wp:effectExtent l="0" t="0" r="0" b="0"/>
          <wp:wrapNone/>
          <wp:docPr id="98659459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594597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6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37FA7F" w14:textId="0CCBFE84" w:rsidR="00205A38" w:rsidRDefault="005B628C" w:rsidP="005B628C">
    <w:pPr>
      <w:pStyle w:val="Nagwek"/>
      <w:tabs>
        <w:tab w:val="clear" w:pos="4536"/>
        <w:tab w:val="clear" w:pos="9072"/>
        <w:tab w:val="left" w:pos="229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E9C79DD" wp14:editId="28686FF1">
          <wp:simplePos x="0" y="0"/>
          <wp:positionH relativeFrom="column">
            <wp:posOffset>4253230</wp:posOffset>
          </wp:positionH>
          <wp:positionV relativeFrom="paragraph">
            <wp:posOffset>132080</wp:posOffset>
          </wp:positionV>
          <wp:extent cx="1238250" cy="55128"/>
          <wp:effectExtent l="0" t="0" r="0" b="2540"/>
          <wp:wrapNone/>
          <wp:docPr id="1961143880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143880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5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3C5E"/>
    <w:multiLevelType w:val="multilevel"/>
    <w:tmpl w:val="590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8392B"/>
    <w:multiLevelType w:val="multilevel"/>
    <w:tmpl w:val="AB62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2A7E49"/>
    <w:multiLevelType w:val="multilevel"/>
    <w:tmpl w:val="07AC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FE7447"/>
    <w:multiLevelType w:val="multilevel"/>
    <w:tmpl w:val="5004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1F43A9"/>
    <w:multiLevelType w:val="multilevel"/>
    <w:tmpl w:val="F0D8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449789">
    <w:abstractNumId w:val="0"/>
  </w:num>
  <w:num w:numId="2" w16cid:durableId="1441757219">
    <w:abstractNumId w:val="1"/>
  </w:num>
  <w:num w:numId="3" w16cid:durableId="735669089">
    <w:abstractNumId w:val="4"/>
  </w:num>
  <w:num w:numId="4" w16cid:durableId="463694747">
    <w:abstractNumId w:val="3"/>
  </w:num>
  <w:num w:numId="5" w16cid:durableId="1314334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A38"/>
    <w:rsid w:val="000160FF"/>
    <w:rsid w:val="00073E91"/>
    <w:rsid w:val="0007539D"/>
    <w:rsid w:val="00136159"/>
    <w:rsid w:val="001758D8"/>
    <w:rsid w:val="00176B47"/>
    <w:rsid w:val="00181961"/>
    <w:rsid w:val="001B067A"/>
    <w:rsid w:val="001B2C59"/>
    <w:rsid w:val="00205A38"/>
    <w:rsid w:val="0022034C"/>
    <w:rsid w:val="002600AF"/>
    <w:rsid w:val="002E2202"/>
    <w:rsid w:val="00350E27"/>
    <w:rsid w:val="003852C1"/>
    <w:rsid w:val="003E3DC3"/>
    <w:rsid w:val="003E610B"/>
    <w:rsid w:val="003E7BC0"/>
    <w:rsid w:val="003F1931"/>
    <w:rsid w:val="0041652D"/>
    <w:rsid w:val="00462595"/>
    <w:rsid w:val="004B7914"/>
    <w:rsid w:val="004E4526"/>
    <w:rsid w:val="0051430B"/>
    <w:rsid w:val="0053570E"/>
    <w:rsid w:val="005413AB"/>
    <w:rsid w:val="00546209"/>
    <w:rsid w:val="005B3E19"/>
    <w:rsid w:val="005B628C"/>
    <w:rsid w:val="005F6642"/>
    <w:rsid w:val="00623CCB"/>
    <w:rsid w:val="00636921"/>
    <w:rsid w:val="0065572C"/>
    <w:rsid w:val="00670CE1"/>
    <w:rsid w:val="00750A73"/>
    <w:rsid w:val="007B2FCC"/>
    <w:rsid w:val="007D7F1A"/>
    <w:rsid w:val="00821A73"/>
    <w:rsid w:val="008629DB"/>
    <w:rsid w:val="008D32A2"/>
    <w:rsid w:val="00924EED"/>
    <w:rsid w:val="00984D5C"/>
    <w:rsid w:val="00992A10"/>
    <w:rsid w:val="009D180B"/>
    <w:rsid w:val="009E60E8"/>
    <w:rsid w:val="00A05ECE"/>
    <w:rsid w:val="00A72FCE"/>
    <w:rsid w:val="00A77866"/>
    <w:rsid w:val="00AC2CF8"/>
    <w:rsid w:val="00AD74A4"/>
    <w:rsid w:val="00B171C1"/>
    <w:rsid w:val="00B2288D"/>
    <w:rsid w:val="00BC443C"/>
    <w:rsid w:val="00C2551A"/>
    <w:rsid w:val="00C50B29"/>
    <w:rsid w:val="00C543A1"/>
    <w:rsid w:val="00C6250F"/>
    <w:rsid w:val="00C700B2"/>
    <w:rsid w:val="00C71CBA"/>
    <w:rsid w:val="00C76ED8"/>
    <w:rsid w:val="00C810F2"/>
    <w:rsid w:val="00CB7FF4"/>
    <w:rsid w:val="00CD68AB"/>
    <w:rsid w:val="00D00BEE"/>
    <w:rsid w:val="00D1137B"/>
    <w:rsid w:val="00D46F3C"/>
    <w:rsid w:val="00D52A40"/>
    <w:rsid w:val="00E034B3"/>
    <w:rsid w:val="00E22B42"/>
    <w:rsid w:val="00E35CC4"/>
    <w:rsid w:val="00E42C8C"/>
    <w:rsid w:val="00E54271"/>
    <w:rsid w:val="00EA3F94"/>
    <w:rsid w:val="00EB3B53"/>
    <w:rsid w:val="00ED6F7A"/>
    <w:rsid w:val="00ED763A"/>
    <w:rsid w:val="00F111BA"/>
    <w:rsid w:val="00F20917"/>
    <w:rsid w:val="00F476DA"/>
    <w:rsid w:val="00F56CA0"/>
    <w:rsid w:val="00F62145"/>
    <w:rsid w:val="00F95B2C"/>
    <w:rsid w:val="00FA06BB"/>
    <w:rsid w:val="00FA110A"/>
    <w:rsid w:val="00FC1535"/>
    <w:rsid w:val="00FD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8DE51"/>
  <w15:chartTrackingRefBased/>
  <w15:docId w15:val="{541B33EB-F595-46E8-832C-0757C649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A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A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A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5A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5A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5A3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5A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5A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5A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5A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5A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A38"/>
  </w:style>
  <w:style w:type="paragraph" w:styleId="Stopka">
    <w:name w:val="footer"/>
    <w:basedOn w:val="Normalny"/>
    <w:link w:val="Stopka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A38"/>
  </w:style>
  <w:style w:type="character" w:styleId="Hipercze">
    <w:name w:val="Hyperlink"/>
    <w:basedOn w:val="Domylnaczcionkaakapitu"/>
    <w:uiPriority w:val="99"/>
    <w:unhideWhenUsed/>
    <w:rsid w:val="00205A3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5A38"/>
    <w:rPr>
      <w:color w:val="605E5C"/>
      <w:shd w:val="clear" w:color="auto" w:fill="E1DFDD"/>
    </w:rPr>
  </w:style>
  <w:style w:type="character" w:customStyle="1" w:styleId="Brak">
    <w:name w:val="Brak"/>
    <w:rsid w:val="00FC15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E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E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3E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tt.ly/YeFS0vq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C8DF8-146F-46E1-9D3D-A724F841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1637</Words>
  <Characters>9822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Adam Maliszewski</cp:lastModifiedBy>
  <cp:revision>5</cp:revision>
  <dcterms:created xsi:type="dcterms:W3CDTF">2024-10-30T17:36:00Z</dcterms:created>
  <dcterms:modified xsi:type="dcterms:W3CDTF">2024-10-30T20:40:00Z</dcterms:modified>
</cp:coreProperties>
</file>